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38FD" w14:textId="525F453B" w:rsidR="006A3906" w:rsidRDefault="006A3906" w:rsidP="006A3906">
      <w:pPr>
        <w:spacing w:after="0" w:line="240" w:lineRule="auto"/>
      </w:pPr>
      <w:r w:rsidRPr="0019624C">
        <w:rPr>
          <w:u w:val="single"/>
        </w:rPr>
        <w:t>Situation</w:t>
      </w:r>
      <w:r>
        <w:t xml:space="preserve"> : à hauteur du numéro 38 de la rue des Frères Bouré, </w:t>
      </w:r>
      <w:r w:rsidR="0019624C">
        <w:t xml:space="preserve">de part </w:t>
      </w:r>
      <w:r w:rsidR="00A948B7">
        <w:t>et</w:t>
      </w:r>
      <w:r w:rsidR="0019624C">
        <w:t xml:space="preserve"> d’autre de la rue.</w:t>
      </w:r>
    </w:p>
    <w:p w14:paraId="12817F11" w14:textId="77777777" w:rsidR="0019624C" w:rsidRDefault="0019624C" w:rsidP="006A3906">
      <w:pPr>
        <w:spacing w:after="0" w:line="240" w:lineRule="auto"/>
      </w:pPr>
    </w:p>
    <w:p w14:paraId="465F9962" w14:textId="500A3724" w:rsidR="006A3906" w:rsidRDefault="006A3906" w:rsidP="00A948B7">
      <w:pPr>
        <w:spacing w:after="0" w:line="240" w:lineRule="auto"/>
        <w:ind w:left="708"/>
      </w:pPr>
      <w:r w:rsidRPr="006A3906">
        <w:rPr>
          <w:noProof/>
        </w:rPr>
        <w:drawing>
          <wp:inline distT="0" distB="0" distL="0" distR="0" wp14:anchorId="189C8438" wp14:editId="00A6D0F8">
            <wp:extent cx="2886075" cy="4199498"/>
            <wp:effectExtent l="0" t="0" r="0" b="0"/>
            <wp:docPr id="1949345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45205" name=""/>
                    <pic:cNvPicPr/>
                  </pic:nvPicPr>
                  <pic:blipFill>
                    <a:blip r:embed="rId7"/>
                    <a:stretch>
                      <a:fillRect/>
                    </a:stretch>
                  </pic:blipFill>
                  <pic:spPr>
                    <a:xfrm>
                      <a:off x="0" y="0"/>
                      <a:ext cx="2890985" cy="4206642"/>
                    </a:xfrm>
                    <a:prstGeom prst="rect">
                      <a:avLst/>
                    </a:prstGeom>
                  </pic:spPr>
                </pic:pic>
              </a:graphicData>
            </a:graphic>
          </wp:inline>
        </w:drawing>
      </w:r>
      <w:r>
        <w:t xml:space="preserve">   </w:t>
      </w:r>
      <w:r>
        <w:tab/>
      </w:r>
      <w:r>
        <w:tab/>
      </w:r>
      <w:r w:rsidRPr="006A3906">
        <w:rPr>
          <w:noProof/>
        </w:rPr>
        <w:drawing>
          <wp:inline distT="0" distB="0" distL="0" distR="0" wp14:anchorId="3DE3D052" wp14:editId="7D3C2300">
            <wp:extent cx="4071585" cy="4180825"/>
            <wp:effectExtent l="0" t="0" r="0" b="0"/>
            <wp:docPr id="21255304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0452" name=""/>
                    <pic:cNvPicPr/>
                  </pic:nvPicPr>
                  <pic:blipFill>
                    <a:blip r:embed="rId8"/>
                    <a:stretch>
                      <a:fillRect/>
                    </a:stretch>
                  </pic:blipFill>
                  <pic:spPr>
                    <a:xfrm>
                      <a:off x="0" y="0"/>
                      <a:ext cx="4094175" cy="4204021"/>
                    </a:xfrm>
                    <a:prstGeom prst="rect">
                      <a:avLst/>
                    </a:prstGeom>
                  </pic:spPr>
                </pic:pic>
              </a:graphicData>
            </a:graphic>
          </wp:inline>
        </w:drawing>
      </w:r>
    </w:p>
    <w:p w14:paraId="39E0B6B6" w14:textId="77777777" w:rsidR="006A3906" w:rsidRDefault="006A3906" w:rsidP="006A3906">
      <w:pPr>
        <w:spacing w:after="0" w:line="240" w:lineRule="auto"/>
      </w:pPr>
    </w:p>
    <w:p w14:paraId="7CCE46CC" w14:textId="77777777" w:rsidR="006A3906" w:rsidRDefault="00024262" w:rsidP="00A948B7">
      <w:pPr>
        <w:spacing w:after="0" w:line="240" w:lineRule="auto"/>
        <w:ind w:left="708"/>
      </w:pPr>
      <w:hyperlink r:id="rId9" w:anchor="SHARE=38F5E11F630F62D4E0630AB6A49D6384" w:history="1">
        <w:r w:rsidR="006A3906" w:rsidRPr="00DF1C3D">
          <w:rPr>
            <w:rStyle w:val="Lienhypertexte"/>
          </w:rPr>
          <w:t>https://geoportail.wallonie.be/walonmap#SHARE=38F5E11F630F62D4E0630AB6A49D6384</w:t>
        </w:r>
      </w:hyperlink>
    </w:p>
    <w:p w14:paraId="5E5ADD5E" w14:textId="77777777" w:rsidR="0019624C" w:rsidRDefault="0019624C" w:rsidP="006A3906">
      <w:pPr>
        <w:spacing w:after="0" w:line="240" w:lineRule="auto"/>
      </w:pPr>
    </w:p>
    <w:p w14:paraId="19D7E7E9" w14:textId="77777777" w:rsidR="0019624C" w:rsidRDefault="0019624C" w:rsidP="0019624C">
      <w:pPr>
        <w:spacing w:after="0" w:line="240" w:lineRule="auto"/>
        <w:rPr>
          <w:u w:val="single"/>
        </w:rPr>
      </w:pPr>
    </w:p>
    <w:p w14:paraId="1806433C" w14:textId="77777777" w:rsidR="0019624C" w:rsidRDefault="0019624C" w:rsidP="0019624C">
      <w:pPr>
        <w:spacing w:after="0" w:line="240" w:lineRule="auto"/>
        <w:rPr>
          <w:u w:val="single"/>
        </w:rPr>
      </w:pPr>
    </w:p>
    <w:p w14:paraId="4664EB96" w14:textId="0AE8976F" w:rsidR="0019624C" w:rsidRDefault="0019624C" w:rsidP="0019624C">
      <w:pPr>
        <w:spacing w:after="0" w:line="240" w:lineRule="auto"/>
      </w:pPr>
      <w:r w:rsidRPr="0019624C">
        <w:rPr>
          <w:u w:val="single"/>
        </w:rPr>
        <w:lastRenderedPageBreak/>
        <w:t>Description</w:t>
      </w:r>
      <w:r>
        <w:rPr>
          <w:u w:val="single"/>
        </w:rPr>
        <w:t xml:space="preserve"> des biens</w:t>
      </w:r>
      <w:r>
        <w:t> :</w:t>
      </w:r>
    </w:p>
    <w:p w14:paraId="28AEBE1F" w14:textId="77777777" w:rsidR="0019624C" w:rsidRDefault="0019624C" w:rsidP="0019624C">
      <w:pPr>
        <w:spacing w:after="0" w:line="240" w:lineRule="auto"/>
      </w:pPr>
    </w:p>
    <w:p w14:paraId="52C082ED" w14:textId="77777777" w:rsidR="0019624C" w:rsidRPr="0019624C" w:rsidRDefault="0019624C" w:rsidP="0019624C">
      <w:pPr>
        <w:spacing w:after="0" w:line="240" w:lineRule="auto"/>
        <w:ind w:left="708"/>
        <w:rPr>
          <w:u w:val="dotted"/>
        </w:rPr>
      </w:pPr>
      <w:r w:rsidRPr="0019624C">
        <w:rPr>
          <w:u w:val="dotted"/>
        </w:rPr>
        <w:t>Viroinval - Première division – Olloy-sur-Viroin</w:t>
      </w:r>
    </w:p>
    <w:p w14:paraId="3E6BABDE" w14:textId="77777777" w:rsidR="0019624C" w:rsidRDefault="0019624C" w:rsidP="0019624C">
      <w:pPr>
        <w:spacing w:after="0" w:line="240" w:lineRule="auto"/>
        <w:ind w:left="708"/>
      </w:pPr>
      <w:r>
        <w:t xml:space="preserve">Trois terrains situés de part et d’autre de la rue des Frères Bouré : </w:t>
      </w:r>
    </w:p>
    <w:p w14:paraId="43AD4175" w14:textId="77777777" w:rsidR="0019624C" w:rsidRPr="007533C0" w:rsidRDefault="0019624C" w:rsidP="0019624C">
      <w:pPr>
        <w:spacing w:after="0" w:line="240" w:lineRule="auto"/>
        <w:ind w:left="708"/>
        <w:rPr>
          <w:color w:val="808080" w:themeColor="background1" w:themeShade="80"/>
        </w:rPr>
      </w:pPr>
      <w:r>
        <w:t>-</w:t>
      </w:r>
      <w:r>
        <w:tab/>
        <w:t xml:space="preserve">Un terrain sis à front de la rue des Frères Bouré, 38, cadastré section B numéro 109C, d’une contenance de 120 ca ; </w:t>
      </w:r>
      <w:r w:rsidRPr="007533C0">
        <w:rPr>
          <w:color w:val="808080" w:themeColor="background1" w:themeShade="80"/>
        </w:rPr>
        <w:t>*</w:t>
      </w:r>
    </w:p>
    <w:p w14:paraId="68B50F3A" w14:textId="77777777" w:rsidR="0019624C" w:rsidRPr="007533C0" w:rsidRDefault="0019624C" w:rsidP="0019624C">
      <w:pPr>
        <w:spacing w:after="0" w:line="240" w:lineRule="auto"/>
        <w:ind w:left="708"/>
        <w:rPr>
          <w:color w:val="808080" w:themeColor="background1" w:themeShade="80"/>
        </w:rPr>
      </w:pPr>
      <w:r>
        <w:t>-</w:t>
      </w:r>
      <w:r>
        <w:tab/>
        <w:t xml:space="preserve">Un terrain sis à front de la rue des Frères Bouré, 33+, cadastré section B, numéro 290L, d’une contenance de 16 ca ; </w:t>
      </w:r>
      <w:r w:rsidRPr="007533C0">
        <w:rPr>
          <w:color w:val="808080" w:themeColor="background1" w:themeShade="80"/>
        </w:rPr>
        <w:t>**</w:t>
      </w:r>
    </w:p>
    <w:p w14:paraId="0516093A" w14:textId="77777777" w:rsidR="0019624C" w:rsidRDefault="0019624C" w:rsidP="0019624C">
      <w:pPr>
        <w:spacing w:after="0" w:line="240" w:lineRule="auto"/>
        <w:ind w:left="708"/>
      </w:pPr>
      <w:r>
        <w:t>-</w:t>
      </w:r>
      <w:r>
        <w:tab/>
        <w:t>Un terrain sis au lieu-dit Les Frères Bouré, cadastré section B numéro 290M, d’une contenance de 99 ca.</w:t>
      </w:r>
    </w:p>
    <w:p w14:paraId="396CB1CA" w14:textId="77777777" w:rsidR="0019624C" w:rsidRDefault="0019624C" w:rsidP="0019624C">
      <w:pPr>
        <w:spacing w:after="0" w:line="240" w:lineRule="auto"/>
        <w:ind w:left="708"/>
      </w:pPr>
      <w:r>
        <w:t>Surface totale = 2a 35 ca</w:t>
      </w:r>
    </w:p>
    <w:p w14:paraId="19ED634F" w14:textId="77777777" w:rsidR="0019624C" w:rsidRDefault="0019624C" w:rsidP="0019624C">
      <w:pPr>
        <w:spacing w:after="0" w:line="240" w:lineRule="auto"/>
        <w:ind w:left="708"/>
      </w:pPr>
    </w:p>
    <w:p w14:paraId="430787C5" w14:textId="77777777" w:rsidR="0019624C" w:rsidRPr="007533C0" w:rsidRDefault="0019624C" w:rsidP="007533C0">
      <w:pPr>
        <w:spacing w:after="0" w:line="240" w:lineRule="auto"/>
        <w:ind w:left="1416"/>
        <w:rPr>
          <w:color w:val="808080" w:themeColor="background1" w:themeShade="80"/>
        </w:rPr>
      </w:pPr>
      <w:r w:rsidRPr="007533C0">
        <w:rPr>
          <w:color w:val="808080" w:themeColor="background1" w:themeShade="80"/>
        </w:rPr>
        <w:t>* La maison qui était située au n°38 a fait l’objet de travaux de démolition, évacuation et stabilisation.</w:t>
      </w:r>
    </w:p>
    <w:p w14:paraId="12F061A4" w14:textId="77777777" w:rsidR="0019624C" w:rsidRPr="007533C0" w:rsidRDefault="0019624C" w:rsidP="007533C0">
      <w:pPr>
        <w:spacing w:after="0" w:line="240" w:lineRule="auto"/>
        <w:ind w:left="1416"/>
        <w:rPr>
          <w:color w:val="808080" w:themeColor="background1" w:themeShade="80"/>
        </w:rPr>
      </w:pPr>
      <w:r w:rsidRPr="007533C0">
        <w:rPr>
          <w:color w:val="808080" w:themeColor="background1" w:themeShade="80"/>
        </w:rPr>
        <w:t>** Le garage qui été érigé au numéro 33+ a également été démoli.</w:t>
      </w:r>
    </w:p>
    <w:p w14:paraId="2ADE9896" w14:textId="5CC62910" w:rsidR="0019624C" w:rsidRDefault="0019624C" w:rsidP="0019624C">
      <w:pPr>
        <w:spacing w:after="0" w:line="240" w:lineRule="auto"/>
        <w:ind w:left="708"/>
      </w:pPr>
    </w:p>
    <w:p w14:paraId="4C1EBE08" w14:textId="77777777" w:rsidR="0019624C" w:rsidRDefault="0019624C" w:rsidP="006A3906">
      <w:pPr>
        <w:spacing w:after="0" w:line="240" w:lineRule="auto"/>
      </w:pPr>
    </w:p>
    <w:p w14:paraId="1A3D42F9" w14:textId="77777777" w:rsidR="00B56985" w:rsidRDefault="00B56985" w:rsidP="006A3906">
      <w:pPr>
        <w:spacing w:after="0" w:line="240" w:lineRule="auto"/>
      </w:pPr>
    </w:p>
    <w:p w14:paraId="02A54030" w14:textId="13792AA3" w:rsidR="0019624C" w:rsidRPr="0019624C" w:rsidRDefault="0019624C" w:rsidP="006A3906">
      <w:pPr>
        <w:spacing w:after="0" w:line="240" w:lineRule="auto"/>
        <w:rPr>
          <w:u w:val="single"/>
        </w:rPr>
      </w:pPr>
      <w:r w:rsidRPr="0019624C">
        <w:rPr>
          <w:u w:val="single"/>
        </w:rPr>
        <w:t>Procédure de vente :</w:t>
      </w:r>
    </w:p>
    <w:p w14:paraId="3888FEF6" w14:textId="77777777" w:rsidR="0019624C" w:rsidRDefault="0019624C" w:rsidP="007533C0">
      <w:pPr>
        <w:spacing w:after="0" w:line="240" w:lineRule="auto"/>
        <w:jc w:val="both"/>
      </w:pPr>
    </w:p>
    <w:p w14:paraId="26854AE6" w14:textId="77777777" w:rsidR="0019624C" w:rsidRDefault="0019624C" w:rsidP="007533C0">
      <w:pPr>
        <w:pStyle w:val="Paragraphedeliste"/>
        <w:numPr>
          <w:ilvl w:val="0"/>
          <w:numId w:val="1"/>
        </w:numPr>
        <w:spacing w:after="0" w:line="240" w:lineRule="auto"/>
        <w:jc w:val="both"/>
      </w:pPr>
      <w:r>
        <w:t>Faire offre à partir de 7.000 €.</w:t>
      </w:r>
    </w:p>
    <w:p w14:paraId="5C7C084B" w14:textId="77777777" w:rsidR="0019624C" w:rsidRDefault="0019624C" w:rsidP="007533C0">
      <w:pPr>
        <w:pStyle w:val="Paragraphedeliste"/>
        <w:numPr>
          <w:ilvl w:val="0"/>
          <w:numId w:val="1"/>
        </w:numPr>
        <w:spacing w:after="0" w:line="240" w:lineRule="auto"/>
        <w:jc w:val="both"/>
      </w:pPr>
      <w:r>
        <w:t>Pour être valide, l’offre doit être:</w:t>
      </w:r>
    </w:p>
    <w:p w14:paraId="1D571B1C" w14:textId="23D4B7BE" w:rsidR="0019624C" w:rsidRDefault="0019624C" w:rsidP="007533C0">
      <w:pPr>
        <w:pStyle w:val="Paragraphedeliste"/>
        <w:numPr>
          <w:ilvl w:val="1"/>
          <w:numId w:val="1"/>
        </w:numPr>
        <w:spacing w:after="0" w:line="240" w:lineRule="auto"/>
        <w:jc w:val="both"/>
      </w:pPr>
      <w:r>
        <w:t>faite au moyen du formulaire ad hoc ;</w:t>
      </w:r>
    </w:p>
    <w:p w14:paraId="31B7D04C" w14:textId="2C9A9F9D" w:rsidR="0019624C" w:rsidRDefault="0019624C" w:rsidP="007533C0">
      <w:pPr>
        <w:pStyle w:val="Paragraphedeliste"/>
        <w:numPr>
          <w:ilvl w:val="1"/>
          <w:numId w:val="1"/>
        </w:numPr>
        <w:spacing w:after="0" w:line="240" w:lineRule="auto"/>
        <w:jc w:val="both"/>
      </w:pPr>
      <w:r>
        <w:t>communiquée par e-mail à namur.cai.finances@spw.wallonie.be;</w:t>
      </w:r>
    </w:p>
    <w:p w14:paraId="73BEC641" w14:textId="225B8C6C" w:rsidR="0019624C" w:rsidRDefault="0019624C" w:rsidP="007533C0">
      <w:pPr>
        <w:pStyle w:val="Paragraphedeliste"/>
        <w:numPr>
          <w:ilvl w:val="1"/>
          <w:numId w:val="1"/>
        </w:numPr>
        <w:spacing w:after="0" w:line="240" w:lineRule="auto"/>
        <w:jc w:val="both"/>
      </w:pPr>
      <w:r>
        <w:t>ferme, sans conditions.</w:t>
      </w:r>
    </w:p>
    <w:p w14:paraId="78C892DD" w14:textId="2AE96B3E" w:rsidR="0019624C" w:rsidRDefault="0019624C" w:rsidP="007533C0">
      <w:pPr>
        <w:pStyle w:val="Paragraphedeliste"/>
        <w:numPr>
          <w:ilvl w:val="1"/>
          <w:numId w:val="1"/>
        </w:numPr>
        <w:spacing w:after="0" w:line="240" w:lineRule="auto"/>
      </w:pPr>
      <w:r>
        <w:t>réceptionnée au plus tard le 30 septembre 2025 à 13h00 par le Comité d’acquisition de Namur (</w:t>
      </w:r>
      <w:r w:rsidR="007533C0">
        <w:t>namur.cai.finances@spw.wallonie.be</w:t>
      </w:r>
      <w:r>
        <w:t xml:space="preserve">). </w:t>
      </w:r>
    </w:p>
    <w:p w14:paraId="2699C333" w14:textId="77777777" w:rsidR="0019624C" w:rsidRDefault="0019624C" w:rsidP="007533C0">
      <w:pPr>
        <w:pStyle w:val="Paragraphedeliste"/>
        <w:numPr>
          <w:ilvl w:val="0"/>
          <w:numId w:val="1"/>
        </w:numPr>
        <w:spacing w:after="0" w:line="240" w:lineRule="auto"/>
        <w:jc w:val="both"/>
      </w:pPr>
      <w:r>
        <w:t>L’offre la plus haute sera retenue. En cas d’offres égales (faites au même prix), c’est l'offre la plus haute réceptionnée en premier par le Comité d’acquisition (date de réception du mail) qui sera retenue.</w:t>
      </w:r>
    </w:p>
    <w:p w14:paraId="73E23ECF" w14:textId="77777777" w:rsidR="0019624C" w:rsidRDefault="0019624C" w:rsidP="007533C0">
      <w:pPr>
        <w:pStyle w:val="Paragraphedeliste"/>
        <w:numPr>
          <w:ilvl w:val="0"/>
          <w:numId w:val="1"/>
        </w:numPr>
        <w:spacing w:after="0" w:line="240" w:lineRule="auto"/>
        <w:jc w:val="both"/>
      </w:pPr>
      <w:r>
        <w:t>La personne dont l’offre est retenue sera invitée à signer une promesse d’achat avant le 15 octobre 2025. La signature de la promesse d’achat s’accompagne du versement d’une garantie de 15% du prix.</w:t>
      </w:r>
    </w:p>
    <w:p w14:paraId="634D2F7D" w14:textId="49908FBF" w:rsidR="0019624C" w:rsidRDefault="0019624C" w:rsidP="007533C0">
      <w:pPr>
        <w:pStyle w:val="Paragraphedeliste"/>
        <w:numPr>
          <w:ilvl w:val="0"/>
          <w:numId w:val="1"/>
        </w:numPr>
        <w:spacing w:after="0" w:line="240" w:lineRule="auto"/>
        <w:jc w:val="both"/>
      </w:pPr>
      <w:r>
        <w:t>L’acte authentique de vente sera signé devant le fonctionnaire du Comité d’acquisition de Namur après la réception de la délibération du vendeur, validant la vente.</w:t>
      </w:r>
    </w:p>
    <w:p w14:paraId="107EEDE2" w14:textId="77777777" w:rsidR="006A3906" w:rsidRDefault="006A3906" w:rsidP="006A3906">
      <w:pPr>
        <w:spacing w:after="0" w:line="240" w:lineRule="auto"/>
      </w:pPr>
    </w:p>
    <w:p w14:paraId="06E02212" w14:textId="77777777" w:rsidR="006A3906" w:rsidRDefault="006A3906" w:rsidP="006A3906">
      <w:pPr>
        <w:spacing w:after="0" w:line="240" w:lineRule="auto"/>
      </w:pPr>
    </w:p>
    <w:p w14:paraId="5909E10D" w14:textId="77777777" w:rsidR="00B56985" w:rsidRDefault="00B56985" w:rsidP="006A3906">
      <w:pPr>
        <w:spacing w:after="0" w:line="240" w:lineRule="auto"/>
        <w:rPr>
          <w:u w:val="single"/>
        </w:rPr>
      </w:pPr>
    </w:p>
    <w:p w14:paraId="37BCC78D" w14:textId="77777777" w:rsidR="00B56985" w:rsidRDefault="00B56985" w:rsidP="006A3906">
      <w:pPr>
        <w:spacing w:after="0" w:line="240" w:lineRule="auto"/>
        <w:rPr>
          <w:u w:val="single"/>
        </w:rPr>
      </w:pPr>
    </w:p>
    <w:p w14:paraId="07A4BE88" w14:textId="6B0B9E17" w:rsidR="00987A69" w:rsidRDefault="0019624C" w:rsidP="006A3906">
      <w:pPr>
        <w:spacing w:after="0" w:line="240" w:lineRule="auto"/>
      </w:pPr>
      <w:r w:rsidRPr="0019624C">
        <w:rPr>
          <w:u w:val="single"/>
        </w:rPr>
        <w:t>Occupation</w:t>
      </w:r>
      <w:r>
        <w:t> : libre</w:t>
      </w:r>
      <w:r w:rsidR="00A948B7">
        <w:t xml:space="preserve"> d’occupation.</w:t>
      </w:r>
    </w:p>
    <w:p w14:paraId="1F6BC6C2" w14:textId="08080592" w:rsidR="0019624C" w:rsidRDefault="0019624C" w:rsidP="006A3906">
      <w:pPr>
        <w:spacing w:after="0" w:line="240" w:lineRule="auto"/>
      </w:pPr>
    </w:p>
    <w:p w14:paraId="0DE1A7EA" w14:textId="542BC683" w:rsidR="0019624C" w:rsidRDefault="0019624C" w:rsidP="006A3906">
      <w:pPr>
        <w:spacing w:after="0" w:line="240" w:lineRule="auto"/>
      </w:pPr>
      <w:r w:rsidRPr="0019624C">
        <w:rPr>
          <w:u w:val="single"/>
        </w:rPr>
        <w:t>Visites</w:t>
      </w:r>
      <w:r>
        <w:t> : sur place, librement.</w:t>
      </w:r>
    </w:p>
    <w:p w14:paraId="6A9008EE" w14:textId="77777777" w:rsidR="0019624C" w:rsidRDefault="0019624C" w:rsidP="006A3906">
      <w:pPr>
        <w:spacing w:after="0" w:line="240" w:lineRule="auto"/>
      </w:pPr>
    </w:p>
    <w:p w14:paraId="4BD33E6C" w14:textId="77777777" w:rsidR="00A948B7" w:rsidRDefault="0019624C" w:rsidP="0019624C">
      <w:pPr>
        <w:spacing w:after="0" w:line="240" w:lineRule="auto"/>
      </w:pPr>
      <w:r w:rsidRPr="0019624C">
        <w:rPr>
          <w:u w:val="single"/>
        </w:rPr>
        <w:t>Urbanisme</w:t>
      </w:r>
      <w:r>
        <w:t xml:space="preserve"> :  </w:t>
      </w:r>
    </w:p>
    <w:p w14:paraId="028569BC" w14:textId="77777777" w:rsidR="00A948B7" w:rsidRDefault="00A948B7" w:rsidP="0019624C">
      <w:pPr>
        <w:spacing w:after="0" w:line="240" w:lineRule="auto"/>
      </w:pPr>
    </w:p>
    <w:p w14:paraId="303B0AA7" w14:textId="29D1D83B" w:rsidR="0019624C" w:rsidRDefault="00A948B7" w:rsidP="00A948B7">
      <w:pPr>
        <w:spacing w:after="0" w:line="240" w:lineRule="auto"/>
        <w:ind w:firstLine="708"/>
      </w:pPr>
      <w:r>
        <w:t>Z</w:t>
      </w:r>
      <w:r w:rsidR="0019624C">
        <w:t>one d’habitat à caractère rural</w:t>
      </w:r>
    </w:p>
    <w:p w14:paraId="7F5E63A6" w14:textId="3F4124C1" w:rsidR="00F22E22" w:rsidRDefault="00F22E22" w:rsidP="00A948B7">
      <w:pPr>
        <w:spacing w:after="0" w:line="240" w:lineRule="auto"/>
        <w:ind w:firstLine="708"/>
      </w:pPr>
      <w:r>
        <w:t>Aléa d’inondation : néant.</w:t>
      </w:r>
    </w:p>
    <w:p w14:paraId="4C2CB07D" w14:textId="4619BD2D" w:rsidR="00F22E22" w:rsidRDefault="00F22E22" w:rsidP="00A948B7">
      <w:pPr>
        <w:spacing w:after="0" w:line="240" w:lineRule="auto"/>
        <w:ind w:firstLine="708"/>
      </w:pPr>
    </w:p>
    <w:p w14:paraId="5073AB55" w14:textId="67557FD1" w:rsidR="00A948B7" w:rsidRDefault="00A948B7" w:rsidP="007533C0">
      <w:pPr>
        <w:spacing w:after="0" w:line="240" w:lineRule="auto"/>
        <w:ind w:left="708"/>
        <w:jc w:val="both"/>
      </w:pPr>
      <w:r>
        <w:t xml:space="preserve">Voir </w:t>
      </w:r>
      <w:r w:rsidR="00D056C6">
        <w:t>les renseignements urbanistiques délivrés par</w:t>
      </w:r>
      <w:r>
        <w:t xml:space="preserve"> la co</w:t>
      </w:r>
      <w:r w:rsidR="001C52DD">
        <w:t>m</w:t>
      </w:r>
      <w:r>
        <w:t xml:space="preserve">mune de </w:t>
      </w:r>
      <w:r w:rsidR="001C52DD">
        <w:t>Viroinval</w:t>
      </w:r>
      <w:r>
        <w:t xml:space="preserve"> </w:t>
      </w:r>
      <w:r w:rsidR="00D056C6">
        <w:t>le</w:t>
      </w:r>
      <w:r>
        <w:t xml:space="preserve"> 06/03/2024. </w:t>
      </w:r>
      <w:r w:rsidRPr="00024262">
        <w:t xml:space="preserve">Les constructions </w:t>
      </w:r>
      <w:r w:rsidR="00024262">
        <w:t>ont</w:t>
      </w:r>
      <w:r w:rsidRPr="00024262">
        <w:t xml:space="preserve"> été détruites</w:t>
      </w:r>
      <w:r w:rsidR="00D056C6" w:rsidRPr="00024262">
        <w:t xml:space="preserve"> depuis lors</w:t>
      </w:r>
      <w:r w:rsidR="00024262">
        <w:t>.</w:t>
      </w:r>
    </w:p>
    <w:p w14:paraId="7C1EE83D" w14:textId="3A45A214" w:rsidR="006A3906" w:rsidRDefault="0019624C" w:rsidP="007533C0">
      <w:pPr>
        <w:spacing w:after="0" w:line="240" w:lineRule="auto"/>
        <w:ind w:left="708"/>
        <w:jc w:val="both"/>
      </w:pPr>
      <w:r>
        <w:t>Pour toute demandes d’information complémentaires relatives aux prescriptions urbanistiques, s’adresser à l’administration communale de Viroinval</w:t>
      </w:r>
      <w:r w:rsidR="00D056C6">
        <w:t>.</w:t>
      </w:r>
    </w:p>
    <w:sectPr w:rsidR="006A3906" w:rsidSect="006A3906">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6CEC" w14:textId="77777777" w:rsidR="006A3906" w:rsidRDefault="006A3906" w:rsidP="006A3906">
      <w:pPr>
        <w:spacing w:after="0" w:line="240" w:lineRule="auto"/>
      </w:pPr>
      <w:r>
        <w:separator/>
      </w:r>
    </w:p>
  </w:endnote>
  <w:endnote w:type="continuationSeparator" w:id="0">
    <w:p w14:paraId="199E33E4" w14:textId="77777777" w:rsidR="006A3906" w:rsidRDefault="006A3906" w:rsidP="006A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7CEE" w14:textId="77777777" w:rsidR="006A3906" w:rsidRDefault="006A3906" w:rsidP="006A3906">
      <w:pPr>
        <w:spacing w:after="0" w:line="240" w:lineRule="auto"/>
      </w:pPr>
      <w:r>
        <w:separator/>
      </w:r>
    </w:p>
  </w:footnote>
  <w:footnote w:type="continuationSeparator" w:id="0">
    <w:p w14:paraId="76B5F932" w14:textId="77777777" w:rsidR="006A3906" w:rsidRDefault="006A3906" w:rsidP="006A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584F" w14:textId="5F9B1CB2" w:rsidR="006A3906" w:rsidRPr="006A3906" w:rsidRDefault="006A3906" w:rsidP="006A3906">
    <w:pPr>
      <w:spacing w:after="0" w:line="240" w:lineRule="auto"/>
    </w:pPr>
    <w:r w:rsidRPr="006A3906">
      <w:rPr>
        <w:b/>
        <w:bCs/>
      </w:rPr>
      <w:t>Vente 3 terrains à Olloy-sur-Viroin (Viroinval), rue des Frères Bouré</w:t>
    </w:r>
  </w:p>
  <w:p w14:paraId="6E0ED699" w14:textId="3857131F" w:rsidR="006A3906" w:rsidRDefault="006A3906" w:rsidP="006A3906">
    <w:pPr>
      <w:spacing w:after="0" w:line="240" w:lineRule="auto"/>
    </w:pPr>
    <w:r>
      <w:t>Références dossier CAI Namur : 93090/444/1</w:t>
    </w:r>
  </w:p>
  <w:p w14:paraId="48779B40" w14:textId="7977CF6B" w:rsidR="006A3906" w:rsidRDefault="006A3906">
    <w:pPr>
      <w:pStyle w:val="En-tte"/>
    </w:pPr>
  </w:p>
  <w:p w14:paraId="643A7666" w14:textId="77777777" w:rsidR="006A3906" w:rsidRDefault="006A39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827EE"/>
    <w:multiLevelType w:val="hybridMultilevel"/>
    <w:tmpl w:val="8AE05A8A"/>
    <w:lvl w:ilvl="0" w:tplc="64DEED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1A4C8D"/>
    <w:multiLevelType w:val="hybridMultilevel"/>
    <w:tmpl w:val="FC3E9732"/>
    <w:lvl w:ilvl="0" w:tplc="080C0001">
      <w:start w:val="1"/>
      <w:numFmt w:val="bullet"/>
      <w:lvlText w:val=""/>
      <w:lvlJc w:val="left"/>
      <w:pPr>
        <w:ind w:left="1428" w:hanging="360"/>
      </w:pPr>
      <w:rPr>
        <w:rFonts w:ascii="Symbol" w:hAnsi="Symbol" w:hint="default"/>
      </w:rPr>
    </w:lvl>
    <w:lvl w:ilvl="1" w:tplc="E19219CC">
      <w:numFmt w:val="bullet"/>
      <w:lvlText w:val="-"/>
      <w:lvlJc w:val="left"/>
      <w:pPr>
        <w:ind w:left="2493" w:hanging="705"/>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494685355">
    <w:abstractNumId w:val="1"/>
  </w:num>
  <w:num w:numId="2" w16cid:durableId="16679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A3906"/>
    <w:rsid w:val="00024262"/>
    <w:rsid w:val="0019624C"/>
    <w:rsid w:val="001C52DD"/>
    <w:rsid w:val="003A710C"/>
    <w:rsid w:val="006A3906"/>
    <w:rsid w:val="007533C0"/>
    <w:rsid w:val="00973931"/>
    <w:rsid w:val="00987A69"/>
    <w:rsid w:val="00A35CC6"/>
    <w:rsid w:val="00A948B7"/>
    <w:rsid w:val="00B56985"/>
    <w:rsid w:val="00C17E01"/>
    <w:rsid w:val="00D056C6"/>
    <w:rsid w:val="00F22E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DAD1"/>
  <w15:chartTrackingRefBased/>
  <w15:docId w15:val="{1478CEA4-7CDE-40BB-951A-174E77DE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39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6A39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6A3906"/>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6A3906"/>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6A3906"/>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6A39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39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39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39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3906"/>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6A390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6A3906"/>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6A3906"/>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6A3906"/>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6A39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39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39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3906"/>
    <w:rPr>
      <w:rFonts w:eastAsiaTheme="majorEastAsia" w:cstheme="majorBidi"/>
      <w:color w:val="272727" w:themeColor="text1" w:themeTint="D8"/>
    </w:rPr>
  </w:style>
  <w:style w:type="paragraph" w:styleId="Titre">
    <w:name w:val="Title"/>
    <w:basedOn w:val="Normal"/>
    <w:next w:val="Normal"/>
    <w:link w:val="TitreCar"/>
    <w:uiPriority w:val="10"/>
    <w:qFormat/>
    <w:rsid w:val="006A3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39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390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39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390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A3906"/>
    <w:rPr>
      <w:i/>
      <w:iCs/>
      <w:color w:val="404040" w:themeColor="text1" w:themeTint="BF"/>
    </w:rPr>
  </w:style>
  <w:style w:type="paragraph" w:styleId="Paragraphedeliste">
    <w:name w:val="List Paragraph"/>
    <w:basedOn w:val="Normal"/>
    <w:uiPriority w:val="34"/>
    <w:qFormat/>
    <w:rsid w:val="006A3906"/>
    <w:pPr>
      <w:ind w:left="720"/>
      <w:contextualSpacing/>
    </w:pPr>
  </w:style>
  <w:style w:type="character" w:styleId="Accentuationintense">
    <w:name w:val="Intense Emphasis"/>
    <w:basedOn w:val="Policepardfaut"/>
    <w:uiPriority w:val="21"/>
    <w:qFormat/>
    <w:rsid w:val="006A3906"/>
    <w:rPr>
      <w:i/>
      <w:iCs/>
      <w:color w:val="365F91" w:themeColor="accent1" w:themeShade="BF"/>
    </w:rPr>
  </w:style>
  <w:style w:type="paragraph" w:styleId="Citationintense">
    <w:name w:val="Intense Quote"/>
    <w:basedOn w:val="Normal"/>
    <w:next w:val="Normal"/>
    <w:link w:val="CitationintenseCar"/>
    <w:uiPriority w:val="30"/>
    <w:qFormat/>
    <w:rsid w:val="006A39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6A3906"/>
    <w:rPr>
      <w:i/>
      <w:iCs/>
      <w:color w:val="365F91" w:themeColor="accent1" w:themeShade="BF"/>
    </w:rPr>
  </w:style>
  <w:style w:type="character" w:styleId="Rfrenceintense">
    <w:name w:val="Intense Reference"/>
    <w:basedOn w:val="Policepardfaut"/>
    <w:uiPriority w:val="32"/>
    <w:qFormat/>
    <w:rsid w:val="006A3906"/>
    <w:rPr>
      <w:b/>
      <w:bCs/>
      <w:smallCaps/>
      <w:color w:val="365F91" w:themeColor="accent1" w:themeShade="BF"/>
      <w:spacing w:val="5"/>
    </w:rPr>
  </w:style>
  <w:style w:type="character" w:styleId="Lienhypertexte">
    <w:name w:val="Hyperlink"/>
    <w:basedOn w:val="Policepardfaut"/>
    <w:uiPriority w:val="99"/>
    <w:unhideWhenUsed/>
    <w:rsid w:val="006A3906"/>
    <w:rPr>
      <w:color w:val="0000FF" w:themeColor="hyperlink"/>
      <w:u w:val="single"/>
    </w:rPr>
  </w:style>
  <w:style w:type="character" w:styleId="Mentionnonrsolue">
    <w:name w:val="Unresolved Mention"/>
    <w:basedOn w:val="Policepardfaut"/>
    <w:uiPriority w:val="99"/>
    <w:semiHidden/>
    <w:unhideWhenUsed/>
    <w:rsid w:val="006A3906"/>
    <w:rPr>
      <w:color w:val="605E5C"/>
      <w:shd w:val="clear" w:color="auto" w:fill="E1DFDD"/>
    </w:rPr>
  </w:style>
  <w:style w:type="paragraph" w:styleId="En-tte">
    <w:name w:val="header"/>
    <w:basedOn w:val="Normal"/>
    <w:link w:val="En-tteCar"/>
    <w:uiPriority w:val="99"/>
    <w:unhideWhenUsed/>
    <w:rsid w:val="006A3906"/>
    <w:pPr>
      <w:tabs>
        <w:tab w:val="center" w:pos="4536"/>
        <w:tab w:val="right" w:pos="9072"/>
      </w:tabs>
      <w:spacing w:after="0" w:line="240" w:lineRule="auto"/>
    </w:pPr>
  </w:style>
  <w:style w:type="character" w:customStyle="1" w:styleId="En-tteCar">
    <w:name w:val="En-tête Car"/>
    <w:basedOn w:val="Policepardfaut"/>
    <w:link w:val="En-tte"/>
    <w:uiPriority w:val="99"/>
    <w:rsid w:val="006A3906"/>
  </w:style>
  <w:style w:type="paragraph" w:styleId="Pieddepage">
    <w:name w:val="footer"/>
    <w:basedOn w:val="Normal"/>
    <w:link w:val="PieddepageCar"/>
    <w:uiPriority w:val="99"/>
    <w:unhideWhenUsed/>
    <w:rsid w:val="006A39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0252">
      <w:bodyDiv w:val="1"/>
      <w:marLeft w:val="0"/>
      <w:marRight w:val="0"/>
      <w:marTop w:val="0"/>
      <w:marBottom w:val="0"/>
      <w:divBdr>
        <w:top w:val="none" w:sz="0" w:space="0" w:color="auto"/>
        <w:left w:val="none" w:sz="0" w:space="0" w:color="auto"/>
        <w:bottom w:val="none" w:sz="0" w:space="0" w:color="auto"/>
        <w:right w:val="none" w:sz="0" w:space="0" w:color="auto"/>
      </w:divBdr>
    </w:div>
    <w:div w:id="131474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oportail.wallonie.be/walonma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Céline</dc:creator>
  <cp:keywords/>
  <dc:description/>
  <cp:lastModifiedBy>ANTOINE Céline</cp:lastModifiedBy>
  <cp:revision>8</cp:revision>
  <dcterms:created xsi:type="dcterms:W3CDTF">2025-07-03T12:47:00Z</dcterms:created>
  <dcterms:modified xsi:type="dcterms:W3CDTF">2025-07-03T14:24:00Z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2025-07-03T13:14:07Z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dcbf6d16-61c5-4bba-a4f5-0711ca322a05</vt:lpwstr>
  </property>
  <property fmtid="{D5CDD505-2E9C-101B-9397-08002B2CF9AE}" pid="8" name="MSIP_Label_97a477d1-147d-4e34-b5e3-7b26d2f44870_ContentBits">
    <vt:lpwstr>0</vt:lpwstr>
  </property>
</Properties>
</file>